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highlight w:val="none"/>
        </w:rPr>
      </w:pPr>
      <w:r>
        <w:rPr>
          <w:b/>
          <w:sz w:val="28"/>
        </w:rPr>
        <w:t xml:space="preserve">Реквизиты ООО «ИнтерКомпани»</w:t>
      </w:r>
      <w:r>
        <w:rPr>
          <w:b/>
          <w:sz w:val="28"/>
        </w:rPr>
      </w:r>
    </w:p>
    <w:tbl>
      <w:tblPr>
        <w:tblStyle w:val="46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4961"/>
        <w:gridCol w:w="5103"/>
      </w:tblGrid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Полное официальное наименование предприятия: 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Общество с ограниченной ответственностью «ИнтерКомпани»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Сокращенное наименование предприятия: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ООО «ИнтерКомпани»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Должность руководителя: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Генеральный директор (действует на основании Устава)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Ф.И.О. руководителя: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Сидоров Михаил Леонидович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ИНН/КПП: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2801265605/280101001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ОРГН: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1212800006132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Юридический адрес (адрес регистрации):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675004, Амурская обл. г. Благовещенск, ул. Калинина 4 офис 24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Информация о месте нахождения (фактический, почтовый адрес):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675004, Амурская обл. г. Благовещенск, ул. Калинина 4 офис 7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Телефон: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+7 962 284 93 03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Адрес электронной почты: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megatek_avto@mail.ru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Наименование учреждения банка: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«Азиатско-Тихоокеанский Банк» (ПАО) г. Благовещенск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Местонахождение учреждения банка: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г. Благовещенск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БИК: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041012765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Корреспондентский счет: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30101810300000000765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Расчётный счет: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40702810700040000287</w:t>
            </w:r>
            <w:r/>
            <w:r/>
          </w:p>
        </w:tc>
      </w:tr>
      <w:tr>
        <w:trPr/>
        <w:tc>
          <w:tcPr>
            <w:tcW w:w="4961" w:type="dxa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Система налогообложения:</w:t>
            </w:r>
            <w:r/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</w:t>
            </w:r>
            <w:r/>
            <w:r/>
          </w:p>
        </w:tc>
      </w:tr>
    </w:tbl>
    <w:p>
      <w:pPr>
        <w:jc w:val="center"/>
        <w:rPr>
          <w:b/>
          <w:sz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2022-08-12T05:53:05Z</dcterms:modified>
</cp:coreProperties>
</file>